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D48" w:rsidRDefault="00011D48" w:rsidP="00011D48"/>
    <w:p w:rsidR="00F469D5" w:rsidRDefault="00011D48" w:rsidP="00011D48">
      <w:r>
        <w:t xml:space="preserve">Sírvase informar cuál ha sido el plan de contingencia que se viene adelantando desde la entidad que usted preside, para atender con celeridad el represamiento de los procesos, trámites y aprobaciones pendientes, luego del </w:t>
      </w:r>
      <w:proofErr w:type="spellStart"/>
      <w:r>
        <w:t>hackeo</w:t>
      </w:r>
      <w:proofErr w:type="spellEnd"/>
      <w:r>
        <w:t xml:space="preserve"> sufrido por el </w:t>
      </w:r>
      <w:proofErr w:type="spellStart"/>
      <w:r>
        <w:t>Invima</w:t>
      </w:r>
      <w:proofErr w:type="spellEnd"/>
      <w:r>
        <w:t xml:space="preserve"> el 6 de febrero de la presente anualidad, y que según Federación Colombiana de Agentes Logísticos en Comercio Internacional (</w:t>
      </w:r>
      <w:proofErr w:type="spellStart"/>
      <w:r>
        <w:t>Fitac</w:t>
      </w:r>
      <w:proofErr w:type="spellEnd"/>
      <w:r>
        <w:t>) representó sobrecostos de USD 3.800”.</w:t>
      </w:r>
      <w:bookmarkStart w:id="0" w:name="_GoBack"/>
      <w:bookmarkEnd w:id="0"/>
    </w:p>
    <w:sectPr w:rsidR="00F469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48"/>
    <w:rsid w:val="00011D48"/>
    <w:rsid w:val="00F4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9156CEF-3CE9-4842-B73A-93C47544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Helena Gil Ortegon</dc:creator>
  <cp:keywords/>
  <dc:description/>
  <cp:lastModifiedBy>Beatriz Helena Gil Ortegon</cp:lastModifiedBy>
  <cp:revision>1</cp:revision>
  <dcterms:created xsi:type="dcterms:W3CDTF">2022-06-06T17:37:00Z</dcterms:created>
  <dcterms:modified xsi:type="dcterms:W3CDTF">2022-06-06T17:38:00Z</dcterms:modified>
</cp:coreProperties>
</file>